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2024 337 vom 4. September 2025</w:t>
      </w:r>
    </w:p>
    <w:p>
      <w:r>
        <w:t>BL Gerichte, 2025-09-04, DE</w:t>
      </w:r>
    </w:p>
    <w:p>
      <w:r>
        <w:rPr>
          <w:b/>
        </w:rPr>
        <w:t xml:space="preserve">Quelle: </w:t>
      </w:r>
      <w:r>
        <w:t>https://mcp.opencaselaw.ch/entscheid/bl_gerichte_725 2024 337</w:t>
      </w:r>
    </w:p>
    <w:p>
      <w:r>
        <w:t>FR: BL_GERICHTE 725 2024 337 du 4 septembre 2025</w:t>
      </w:r>
    </w:p>
    <w:p>
      <w:r>
        <w:t>IT: BL_GERICHTE 725 2024 337 del 4 settembre 2025</w:t>
      </w:r>
    </w:p>
    <w:p>
      <w:pPr>
        <w:pStyle w:val="Heading2"/>
      </w:pPr>
      <w:r>
        <w:t>Regeste</w:t>
      </w:r>
    </w:p>
    <w:p>
      <w:r>
        <w:t>Invaliditätsbemessung im Rahmen der allgemeinen Methode des Einkommensvergleichs anhand der Untervariante des Schätzungs- oder Prozentvergleichs / Beurteilung der Unfalladäquanz der vorhandenen psychischen und neuropsychologischen Gesundheitsbeeinträchtigungen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angefochtene Einspracheentscheid der Zürich Versicherungs-Gesellschaft AG vom 3. Oktober 2024 aufgehoben und es wird festgestellt, dass der Beschwerdeführer Anspruch auf eine Invalidenrente basierend auf einem Invaliditätsgrad von 50 % und auf eine Integritätsentschädigung basierend auf einer Integritätseinbusse von 65 % hat.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Zürich Versicherungs-Gesellschaft AG hat dem Beschwerdeführer eine Parteientschädigung in der Höhe von Fr. 4'258.85 (inkl. Auslagen und 8,1 %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